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B464E" w:rsidRDefault="00AB464E">
      <w:pPr>
        <w:pStyle w:val="Heading2"/>
        <w:shd w:val="clear" w:color="auto" w:fill="FFFFFF"/>
        <w:spacing w:before="0"/>
        <w:jc w:val="center"/>
        <w:rPr>
          <w:rFonts w:ascii="Times New Roman" w:eastAsia="Times New Roman" w:hAnsi="Times New Roman" w:cs="Times New Roman"/>
          <w:b/>
          <w:color w:val="000000"/>
          <w:sz w:val="24"/>
          <w:szCs w:val="24"/>
        </w:rPr>
      </w:pPr>
    </w:p>
    <w:p w:rsidR="00AB464E" w:rsidRDefault="00000000">
      <w:pPr>
        <w:pStyle w:val="Heading2"/>
        <w:shd w:val="clear" w:color="auto" w:fill="FFFFFF"/>
        <w:spacing w:before="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Calendarul activităților privind </w:t>
      </w:r>
    </w:p>
    <w:p w:rsidR="00AB464E" w:rsidRDefault="00000000">
      <w:pPr>
        <w:pStyle w:val="Heading2"/>
        <w:shd w:val="clear" w:color="auto" w:fill="FFFFFF"/>
        <w:spacing w:before="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acumularea, recunoaşterea şi echivalarea creditelor profesionale transferabile</w:t>
      </w:r>
    </w:p>
    <w:p w:rsidR="00AB464E" w:rsidRDefault="00000000">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conform </w:t>
      </w:r>
      <w:r>
        <w:rPr>
          <w:rFonts w:ascii="Times New Roman" w:eastAsia="Times New Roman" w:hAnsi="Times New Roman" w:cs="Times New Roman"/>
          <w:b/>
          <w:color w:val="000000"/>
          <w:sz w:val="24"/>
          <w:szCs w:val="24"/>
        </w:rPr>
        <w:t xml:space="preserve">Metodologiei-cadru </w:t>
      </w:r>
      <w:r>
        <w:rPr>
          <w:rFonts w:ascii="Times New Roman" w:eastAsia="Times New Roman" w:hAnsi="Times New Roman" w:cs="Times New Roman"/>
          <w:color w:val="000000"/>
          <w:sz w:val="24"/>
          <w:szCs w:val="24"/>
        </w:rPr>
        <w:t>aprobată prin OM nr. 4224/06.07.2022</w:t>
      </w:r>
    </w:p>
    <w:p w:rsidR="00AB464E" w:rsidRDefault="00AB464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rsidR="00AB464E" w:rsidRDefault="00AB464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tbl>
      <w:tblPr>
        <w:tblStyle w:val="a"/>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7932"/>
      </w:tblGrid>
      <w:tr w:rsidR="00AB464E">
        <w:trPr>
          <w:trHeight w:val="397"/>
        </w:trPr>
        <w:tc>
          <w:tcPr>
            <w:tcW w:w="1696" w:type="dxa"/>
            <w:shd w:val="clear" w:color="auto" w:fill="E7E6E6"/>
            <w:vAlign w:val="center"/>
          </w:tcPr>
          <w:p w:rsidR="00AB464E" w:rsidRDefault="00000000">
            <w:pPr>
              <w:jc w:val="center"/>
              <w:rPr>
                <w:rFonts w:ascii="Times New Roman" w:eastAsia="Times New Roman" w:hAnsi="Times New Roman" w:cs="Times New Roman"/>
                <w:b/>
              </w:rPr>
            </w:pPr>
            <w:r>
              <w:rPr>
                <w:rFonts w:ascii="Times New Roman" w:eastAsia="Times New Roman" w:hAnsi="Times New Roman" w:cs="Times New Roman"/>
                <w:b/>
              </w:rPr>
              <w:t>Perioada</w:t>
            </w:r>
          </w:p>
        </w:tc>
        <w:tc>
          <w:tcPr>
            <w:tcW w:w="7932" w:type="dxa"/>
            <w:shd w:val="clear" w:color="auto" w:fill="E7E6E6"/>
            <w:vAlign w:val="center"/>
          </w:tcPr>
          <w:p w:rsidR="00AB464E" w:rsidRDefault="00000000">
            <w:pPr>
              <w:jc w:val="center"/>
              <w:rPr>
                <w:rFonts w:ascii="Times New Roman" w:eastAsia="Times New Roman" w:hAnsi="Times New Roman" w:cs="Times New Roman"/>
                <w:b/>
              </w:rPr>
            </w:pPr>
            <w:r>
              <w:rPr>
                <w:rFonts w:ascii="Times New Roman" w:eastAsia="Times New Roman" w:hAnsi="Times New Roman" w:cs="Times New Roman"/>
                <w:b/>
              </w:rPr>
              <w:t>Activitatea</w:t>
            </w:r>
          </w:p>
        </w:tc>
      </w:tr>
      <w:tr w:rsidR="00AB464E">
        <w:trPr>
          <w:trHeight w:val="1361"/>
        </w:trPr>
        <w:tc>
          <w:tcPr>
            <w:tcW w:w="1696" w:type="dxa"/>
            <w:vAlign w:val="center"/>
          </w:tcPr>
          <w:p w:rsidR="00AB464E" w:rsidRDefault="00000000">
            <w:pPr>
              <w:rPr>
                <w:rFonts w:ascii="Times New Roman" w:eastAsia="Times New Roman" w:hAnsi="Times New Roman" w:cs="Times New Roman"/>
                <w:b/>
              </w:rPr>
            </w:pPr>
            <w:r>
              <w:rPr>
                <w:rFonts w:ascii="Times New Roman" w:eastAsia="Times New Roman" w:hAnsi="Times New Roman" w:cs="Times New Roman"/>
                <w:b/>
              </w:rPr>
              <w:t>1 septembrie - 31 octombrie</w:t>
            </w:r>
          </w:p>
        </w:tc>
        <w:tc>
          <w:tcPr>
            <w:tcW w:w="7932" w:type="dxa"/>
            <w:vAlign w:val="center"/>
          </w:tcPr>
          <w:p w:rsidR="00AB464E" w:rsidRDefault="00000000">
            <w:pPr>
              <w:rPr>
                <w:rFonts w:ascii="Times New Roman" w:eastAsia="Times New Roman" w:hAnsi="Times New Roman" w:cs="Times New Roman"/>
              </w:rPr>
            </w:pPr>
            <w:r>
              <w:rPr>
                <w:rFonts w:ascii="Times New Roman" w:eastAsia="Times New Roman" w:hAnsi="Times New Roman" w:cs="Times New Roman"/>
              </w:rPr>
              <w:t>În situația în care cadrul didactic a finalizat diferite forme de organizare a formării continue, acesta are obligația de a depune documente suport de certificare, însoțite de o cerere privind evaluarea stadiului de îndeplinire a condiției de formare pentru personalul didactic, la secretariatul unității de învățământ în care este încadrat în anul școlar respectiv.</w:t>
            </w:r>
          </w:p>
        </w:tc>
      </w:tr>
      <w:tr w:rsidR="00AB464E">
        <w:trPr>
          <w:trHeight w:val="2665"/>
        </w:trPr>
        <w:tc>
          <w:tcPr>
            <w:tcW w:w="1696" w:type="dxa"/>
            <w:vAlign w:val="center"/>
          </w:tcPr>
          <w:p w:rsidR="00AB464E" w:rsidRDefault="00000000">
            <w:pPr>
              <w:rPr>
                <w:rFonts w:ascii="Times New Roman" w:eastAsia="Times New Roman" w:hAnsi="Times New Roman" w:cs="Times New Roman"/>
                <w:b/>
              </w:rPr>
            </w:pPr>
            <w:r>
              <w:rPr>
                <w:rFonts w:ascii="Times New Roman" w:eastAsia="Times New Roman" w:hAnsi="Times New Roman" w:cs="Times New Roman"/>
                <w:b/>
              </w:rPr>
              <w:t xml:space="preserve">1 noiembrie - </w:t>
            </w:r>
          </w:p>
          <w:p w:rsidR="00AB464E" w:rsidRDefault="00000000">
            <w:pPr>
              <w:rPr>
                <w:rFonts w:ascii="Times New Roman" w:eastAsia="Times New Roman" w:hAnsi="Times New Roman" w:cs="Times New Roman"/>
                <w:b/>
              </w:rPr>
            </w:pPr>
            <w:r>
              <w:rPr>
                <w:rFonts w:ascii="Times New Roman" w:eastAsia="Times New Roman" w:hAnsi="Times New Roman" w:cs="Times New Roman"/>
                <w:b/>
              </w:rPr>
              <w:t>15 noiembrie</w:t>
            </w:r>
          </w:p>
        </w:tc>
        <w:tc>
          <w:tcPr>
            <w:tcW w:w="7932" w:type="dxa"/>
            <w:vAlign w:val="center"/>
          </w:tcPr>
          <w:p w:rsidR="00AB464E" w:rsidRDefault="00000000">
            <w:pPr>
              <w:rPr>
                <w:rFonts w:ascii="Times New Roman" w:eastAsia="Times New Roman" w:hAnsi="Times New Roman" w:cs="Times New Roman"/>
              </w:rPr>
            </w:pPr>
            <w:r>
              <w:rPr>
                <w:rFonts w:ascii="Times New Roman" w:eastAsia="Times New Roman" w:hAnsi="Times New Roman" w:cs="Times New Roman"/>
              </w:rPr>
              <w:t>Comisia validează, după evaluare, îndeplinirea condiției de formare prin acumularea numărului de credite profesionale transferabile legal prevăzut, inclusiv prin recunoașterea și echivalarea în credite profesionale transferabile, a rezultatelor participării personalului didactic la programe pentru dezvoltare profesională continua și pentru evoluția în cariera didactică, sau, după caz, certifică numărul de credite profesionale transferabile acumulate, pentru intervalul legal prevăzut.</w:t>
            </w:r>
          </w:p>
          <w:p w:rsidR="00AB464E" w:rsidRDefault="00000000">
            <w:pPr>
              <w:rPr>
                <w:rFonts w:ascii="Times New Roman" w:eastAsia="Times New Roman" w:hAnsi="Times New Roman" w:cs="Times New Roman"/>
              </w:rPr>
            </w:pPr>
            <w:r>
              <w:rPr>
                <w:rFonts w:ascii="Times New Roman" w:eastAsia="Times New Roman" w:hAnsi="Times New Roman" w:cs="Times New Roman"/>
              </w:rPr>
              <w:t>Situația centralizată privind acumularea numărului de credite profesionale transferabile pentru cadrele didactice încadrate în unitatea de învățământ, este prezentată, de către CMDFCD, în consiliul profesoral și validată de consiliul de administrație al unității de învățământ.</w:t>
            </w:r>
          </w:p>
        </w:tc>
      </w:tr>
      <w:tr w:rsidR="00AB464E">
        <w:trPr>
          <w:trHeight w:val="1134"/>
        </w:trPr>
        <w:tc>
          <w:tcPr>
            <w:tcW w:w="1696" w:type="dxa"/>
            <w:vAlign w:val="center"/>
          </w:tcPr>
          <w:p w:rsidR="00AB464E" w:rsidRDefault="00000000">
            <w:pPr>
              <w:rPr>
                <w:rFonts w:ascii="Times New Roman" w:eastAsia="Times New Roman" w:hAnsi="Times New Roman" w:cs="Times New Roman"/>
                <w:b/>
              </w:rPr>
            </w:pPr>
            <w:r>
              <w:rPr>
                <w:rFonts w:ascii="Times New Roman" w:eastAsia="Times New Roman" w:hAnsi="Times New Roman" w:cs="Times New Roman"/>
                <w:b/>
              </w:rPr>
              <w:t>15 - 30 noiembrie</w:t>
            </w:r>
          </w:p>
        </w:tc>
        <w:tc>
          <w:tcPr>
            <w:tcW w:w="7932" w:type="dxa"/>
            <w:vAlign w:val="center"/>
          </w:tcPr>
          <w:p w:rsidR="00AB464E" w:rsidRDefault="00000000">
            <w:pPr>
              <w:rPr>
                <w:rFonts w:ascii="Times New Roman" w:eastAsia="Times New Roman" w:hAnsi="Times New Roman" w:cs="Times New Roman"/>
              </w:rPr>
            </w:pPr>
            <w:r>
              <w:rPr>
                <w:rFonts w:ascii="Times New Roman" w:eastAsia="Times New Roman" w:hAnsi="Times New Roman" w:cs="Times New Roman"/>
              </w:rPr>
              <w:t>Pentru cadrele didactice care au acumulat numărul minim de credite profesionale transferabile</w:t>
            </w:r>
            <w:r w:rsidR="00F26B35">
              <w:rPr>
                <w:rFonts w:ascii="Times New Roman" w:eastAsia="Times New Roman" w:hAnsi="Times New Roman" w:cs="Times New Roman"/>
              </w:rPr>
              <w:t xml:space="preserve"> (90 CPT)</w:t>
            </w:r>
            <w:r>
              <w:rPr>
                <w:rFonts w:ascii="Times New Roman" w:eastAsia="Times New Roman" w:hAnsi="Times New Roman" w:cs="Times New Roman"/>
              </w:rPr>
              <w:t xml:space="preserve">, unitatea de învățământ în care sunt încadrate, prin CMDFCD, eliberează anual, o adeverință din care să rezulte îndeplinirea condiției de formare continuă, </w:t>
            </w:r>
            <w:r>
              <w:rPr>
                <w:rFonts w:ascii="Times New Roman" w:eastAsia="Times New Roman" w:hAnsi="Times New Roman" w:cs="Times New Roman"/>
                <w:i/>
                <w:color w:val="C00000"/>
              </w:rPr>
              <w:t>conform unui model elaborat de Ministerul Educației</w:t>
            </w:r>
            <w:r>
              <w:rPr>
                <w:rFonts w:ascii="Times New Roman" w:eastAsia="Times New Roman" w:hAnsi="Times New Roman" w:cs="Times New Roman"/>
                <w:color w:val="C00000"/>
              </w:rPr>
              <w:t>.</w:t>
            </w:r>
          </w:p>
        </w:tc>
      </w:tr>
      <w:tr w:rsidR="00AB464E">
        <w:trPr>
          <w:trHeight w:val="2228"/>
        </w:trPr>
        <w:tc>
          <w:tcPr>
            <w:tcW w:w="1696" w:type="dxa"/>
            <w:vAlign w:val="center"/>
          </w:tcPr>
          <w:p w:rsidR="00AB464E" w:rsidRDefault="00000000">
            <w:pPr>
              <w:rPr>
                <w:rFonts w:ascii="Times New Roman" w:eastAsia="Times New Roman" w:hAnsi="Times New Roman" w:cs="Times New Roman"/>
                <w:b/>
              </w:rPr>
            </w:pPr>
            <w:r>
              <w:rPr>
                <w:rFonts w:ascii="Times New Roman" w:eastAsia="Times New Roman" w:hAnsi="Times New Roman" w:cs="Times New Roman"/>
                <w:b/>
              </w:rPr>
              <w:t>16 - 30 noiembrie</w:t>
            </w:r>
          </w:p>
        </w:tc>
        <w:tc>
          <w:tcPr>
            <w:tcW w:w="7932" w:type="dxa"/>
            <w:vAlign w:val="center"/>
          </w:tcPr>
          <w:p w:rsidR="00AB464E" w:rsidRDefault="00000000">
            <w:pPr>
              <w:spacing w:after="120"/>
              <w:rPr>
                <w:rFonts w:ascii="Times New Roman" w:eastAsia="Times New Roman" w:hAnsi="Times New Roman" w:cs="Times New Roman"/>
              </w:rPr>
            </w:pPr>
            <w:r>
              <w:rPr>
                <w:rFonts w:ascii="Times New Roman" w:eastAsia="Times New Roman" w:hAnsi="Times New Roman" w:cs="Times New Roman"/>
              </w:rPr>
              <w:t xml:space="preserve">După validare, situația centralizată privind acumularea numărului de credite profesionale transferabile pentru cadrele didactice încadrate în unitatea de învățământ, este comunicată, de către responsabilul CMDFCD, inspectorului școlar pentru dezvoltarea resurselor umane din inspectoratul școlar și profesorului metodist cu atribuții privind mentoratul pentru dezvoltare profesională, din casa corpului didactic. </w:t>
            </w:r>
          </w:p>
          <w:p w:rsidR="00AB464E" w:rsidRPr="00294AB6" w:rsidRDefault="00000000">
            <w:pPr>
              <w:rPr>
                <w:rFonts w:ascii="Times New Roman" w:eastAsia="Times New Roman" w:hAnsi="Times New Roman" w:cs="Times New Roman"/>
                <w:i/>
              </w:rPr>
            </w:pPr>
            <w:bookmarkStart w:id="0" w:name="_heading=h.gjdgxs" w:colFirst="0" w:colLast="0"/>
            <w:bookmarkEnd w:id="0"/>
            <w:r w:rsidRPr="00294AB6">
              <w:rPr>
                <w:rFonts w:ascii="Times New Roman" w:eastAsia="Times New Roman" w:hAnsi="Times New Roman" w:cs="Times New Roman"/>
                <w:i/>
              </w:rPr>
              <w:t>Situația centralizată se transmite în format editabil (Excel) pe adresele de email:</w:t>
            </w:r>
          </w:p>
          <w:p w:rsidR="00AB464E" w:rsidRDefault="00294AB6">
            <w:pPr>
              <w:rPr>
                <w:rFonts w:ascii="Times New Roman" w:eastAsia="Times New Roman" w:hAnsi="Times New Roman" w:cs="Times New Roman"/>
                <w:i/>
              </w:rPr>
            </w:pPr>
            <w:hyperlink r:id="rId7" w:history="1">
              <w:r w:rsidRPr="00294AB6">
                <w:rPr>
                  <w:rStyle w:val="Hyperlink"/>
                  <w:rFonts w:ascii="Times New Roman" w:eastAsia="Times New Roman" w:hAnsi="Times New Roman" w:cs="Times New Roman"/>
                  <w:iCs/>
                  <w:sz w:val="22"/>
                  <w:szCs w:val="22"/>
                  <w:lang w:val="ro-RO" w:eastAsia="en-US"/>
                </w:rPr>
                <w:t>formare@ccdar.ro</w:t>
              </w:r>
            </w:hyperlink>
            <w:r>
              <w:rPr>
                <w:rFonts w:ascii="Times New Roman" w:eastAsia="Times New Roman" w:hAnsi="Times New Roman" w:cs="Times New Roman"/>
                <w:b/>
                <w:bCs/>
                <w:i/>
              </w:rPr>
              <w:t xml:space="preserve"> </w:t>
            </w:r>
            <w:r w:rsidR="00000000" w:rsidRPr="00294AB6">
              <w:rPr>
                <w:rFonts w:ascii="Times New Roman" w:eastAsia="Times New Roman" w:hAnsi="Times New Roman" w:cs="Times New Roman"/>
                <w:i/>
              </w:rPr>
              <w:t xml:space="preserve">și </w:t>
            </w:r>
            <w:hyperlink r:id="rId8" w:history="1">
              <w:r w:rsidRPr="00294AB6">
                <w:rPr>
                  <w:rStyle w:val="Hyperlink"/>
                  <w:rFonts w:ascii="Times New Roman" w:eastAsia="Times New Roman" w:hAnsi="Times New Roman" w:cs="Times New Roman"/>
                  <w:iCs/>
                  <w:sz w:val="22"/>
                  <w:szCs w:val="22"/>
                  <w:lang w:val="ro-RO" w:eastAsia="en-US"/>
                </w:rPr>
                <w:t>formare.isjar@gmail.com</w:t>
              </w:r>
            </w:hyperlink>
            <w:r>
              <w:rPr>
                <w:rFonts w:ascii="Times New Roman" w:eastAsia="Times New Roman" w:hAnsi="Times New Roman" w:cs="Times New Roman"/>
                <w:b/>
                <w:bCs/>
                <w:i/>
              </w:rPr>
              <w:t xml:space="preserve"> </w:t>
            </w:r>
          </w:p>
        </w:tc>
      </w:tr>
      <w:tr w:rsidR="00AB464E">
        <w:trPr>
          <w:trHeight w:val="2192"/>
        </w:trPr>
        <w:tc>
          <w:tcPr>
            <w:tcW w:w="1696" w:type="dxa"/>
            <w:vAlign w:val="center"/>
          </w:tcPr>
          <w:p w:rsidR="00AB464E" w:rsidRDefault="00000000">
            <w:pPr>
              <w:rPr>
                <w:rFonts w:ascii="Times New Roman" w:eastAsia="Times New Roman" w:hAnsi="Times New Roman" w:cs="Times New Roman"/>
                <w:b/>
              </w:rPr>
            </w:pPr>
            <w:r>
              <w:rPr>
                <w:rFonts w:ascii="Times New Roman" w:eastAsia="Times New Roman" w:hAnsi="Times New Roman" w:cs="Times New Roman"/>
              </w:rPr>
              <w:t xml:space="preserve">Până la </w:t>
            </w:r>
            <w:r>
              <w:rPr>
                <w:rFonts w:ascii="Times New Roman" w:eastAsia="Times New Roman" w:hAnsi="Times New Roman" w:cs="Times New Roman"/>
                <w:b/>
              </w:rPr>
              <w:t>15 decembrie</w:t>
            </w:r>
          </w:p>
        </w:tc>
        <w:tc>
          <w:tcPr>
            <w:tcW w:w="7932" w:type="dxa"/>
            <w:vAlign w:val="center"/>
          </w:tcPr>
          <w:p w:rsidR="00AB464E" w:rsidRDefault="00000000">
            <w:pPr>
              <w:spacing w:after="120"/>
              <w:rPr>
                <w:rFonts w:ascii="Times New Roman" w:eastAsia="Times New Roman" w:hAnsi="Times New Roman" w:cs="Times New Roman"/>
              </w:rPr>
            </w:pPr>
            <w:r>
              <w:rPr>
                <w:rFonts w:ascii="Times New Roman" w:eastAsia="Times New Roman" w:hAnsi="Times New Roman" w:cs="Times New Roman"/>
              </w:rPr>
              <w:t>Profesorul metodist cu atribuții de mentorat pentru dezvoltare profesională din cadrul casei corpului didactic elaborează un raport sintetic privind situația dezvoltării profesionale continue a cadrelor didactice din județ, pe baza situațiilor centralizate privind acumularea numărului de credite profesionale transferabile transmise de unitățile de învățământ, pentru anul școlar anterior, și comunică direcției de specialitate din cadrul Ministerului Educației datele de acces la informațiile cuprinse în formatul digital al acestuia.</w:t>
            </w:r>
          </w:p>
        </w:tc>
      </w:tr>
    </w:tbl>
    <w:p w:rsidR="00AB464E" w:rsidRDefault="00AB464E"/>
    <w:p w:rsidR="00AB464E" w:rsidRDefault="00000000">
      <w:r>
        <w:br w:type="page"/>
      </w:r>
    </w:p>
    <w:p w:rsidR="00AB464E" w:rsidRDefault="00AB464E">
      <w:pPr>
        <w:pStyle w:val="Heading2"/>
        <w:shd w:val="clear" w:color="auto" w:fill="FFFFFF"/>
        <w:spacing w:before="0"/>
        <w:jc w:val="center"/>
        <w:rPr>
          <w:rFonts w:ascii="Times New Roman" w:eastAsia="Times New Roman" w:hAnsi="Times New Roman" w:cs="Times New Roman"/>
          <w:b/>
          <w:color w:val="000000"/>
          <w:sz w:val="24"/>
          <w:szCs w:val="24"/>
        </w:rPr>
      </w:pPr>
    </w:p>
    <w:p w:rsidR="00AB464E" w:rsidRDefault="00000000">
      <w:pPr>
        <w:pStyle w:val="Heading2"/>
        <w:shd w:val="clear" w:color="auto" w:fill="FFFFFF"/>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Calendarul activităților privind </w:t>
      </w:r>
    </w:p>
    <w:p w:rsidR="00AB464E" w:rsidRDefault="00000000">
      <w:pPr>
        <w:pStyle w:val="Heading2"/>
        <w:shd w:val="clear" w:color="auto" w:fill="FFFFFF"/>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recunoașterea și echivalarea în credite profesionale transferabile </w:t>
      </w:r>
    </w:p>
    <w:p w:rsidR="00AB464E" w:rsidRDefault="00000000">
      <w:pPr>
        <w:pStyle w:val="Heading2"/>
        <w:shd w:val="clear" w:color="auto" w:fill="FFFFFF"/>
        <w:spacing w:after="1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 competențelor dobândite în cadrul programelor pentru dezvoltare profesională continuă complementare internaționale</w:t>
      </w:r>
    </w:p>
    <w:p w:rsidR="00AB464E" w:rsidRDefault="00000000">
      <w:pPr>
        <w:pBdr>
          <w:top w:val="nil"/>
          <w:left w:val="nil"/>
          <w:bottom w:val="nil"/>
          <w:right w:val="nil"/>
          <w:between w:val="nil"/>
        </w:pBdr>
        <w:spacing w:after="0" w:line="24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conform Procedurii specifice - Anexa nr. 2 a Notei nr. 4663/DGMRURS/19.09.2022</w:t>
      </w:r>
    </w:p>
    <w:p w:rsidR="00AB464E" w:rsidRDefault="00AB464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rsidR="00AB464E" w:rsidRDefault="00AB464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p w:rsidR="00AB464E"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Pentru anul școlar 2022-2023*</w:t>
      </w:r>
    </w:p>
    <w:p w:rsidR="00AB464E" w:rsidRDefault="00AB464E">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p>
    <w:tbl>
      <w:tblPr>
        <w:tblStyle w:val="a0"/>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4"/>
        <w:gridCol w:w="7244"/>
      </w:tblGrid>
      <w:tr w:rsidR="00AB464E">
        <w:trPr>
          <w:trHeight w:val="397"/>
        </w:trPr>
        <w:tc>
          <w:tcPr>
            <w:tcW w:w="2384"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AB464E" w:rsidRDefault="00000000">
            <w:pPr>
              <w:jc w:val="center"/>
              <w:rPr>
                <w:rFonts w:ascii="Times New Roman" w:eastAsia="Times New Roman" w:hAnsi="Times New Roman" w:cs="Times New Roman"/>
                <w:b/>
              </w:rPr>
            </w:pPr>
            <w:r>
              <w:rPr>
                <w:rFonts w:ascii="Times New Roman" w:eastAsia="Times New Roman" w:hAnsi="Times New Roman" w:cs="Times New Roman"/>
                <w:b/>
              </w:rPr>
              <w:t>Perioada</w:t>
            </w:r>
          </w:p>
        </w:tc>
        <w:tc>
          <w:tcPr>
            <w:tcW w:w="7244"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AB464E" w:rsidRDefault="00000000">
            <w:pPr>
              <w:jc w:val="center"/>
              <w:rPr>
                <w:rFonts w:ascii="Times New Roman" w:eastAsia="Times New Roman" w:hAnsi="Times New Roman" w:cs="Times New Roman"/>
                <w:b/>
              </w:rPr>
            </w:pPr>
            <w:r>
              <w:rPr>
                <w:rFonts w:ascii="Times New Roman" w:eastAsia="Times New Roman" w:hAnsi="Times New Roman" w:cs="Times New Roman"/>
                <w:b/>
              </w:rPr>
              <w:t>Activitatea</w:t>
            </w:r>
          </w:p>
        </w:tc>
      </w:tr>
      <w:tr w:rsidR="00AB464E">
        <w:trPr>
          <w:trHeight w:val="1531"/>
        </w:trPr>
        <w:tc>
          <w:tcPr>
            <w:tcW w:w="2384"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color w:val="000000"/>
              </w:rPr>
              <w:t>Până la</w:t>
            </w:r>
            <w:r>
              <w:rPr>
                <w:rFonts w:ascii="Times New Roman" w:eastAsia="Times New Roman" w:hAnsi="Times New Roman" w:cs="Times New Roman"/>
                <w:b/>
                <w:color w:val="000000"/>
              </w:rPr>
              <w:t xml:space="preserve"> 30 noiembrie 2022</w:t>
            </w:r>
          </w:p>
        </w:tc>
        <w:tc>
          <w:tcPr>
            <w:tcW w:w="7244"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color w:val="000000"/>
              </w:rPr>
              <w:t xml:space="preserve">Întocmirea dosarelor de către unitățile de învățământ şi transmiterea lor la CCD Arad, pe adresa de email </w:t>
            </w:r>
            <w:hyperlink r:id="rId9">
              <w:r>
                <w:rPr>
                  <w:rFonts w:ascii="Times New Roman" w:eastAsia="Times New Roman" w:hAnsi="Times New Roman" w:cs="Times New Roman"/>
                  <w:color w:val="0000FF"/>
                  <w:u w:val="single"/>
                </w:rPr>
                <w:t>ccd_arad@yahoo.com</w:t>
              </w:r>
            </w:hyperlink>
            <w:r>
              <w:rPr>
                <w:rFonts w:ascii="Times New Roman" w:eastAsia="Times New Roman" w:hAnsi="Times New Roman" w:cs="Times New Roman"/>
                <w:color w:val="000000"/>
              </w:rPr>
              <w:t>, respectând cerințele precizate în Art. 5. din</w:t>
            </w:r>
            <w:r>
              <w:rPr>
                <w:rFonts w:ascii="Times New Roman" w:eastAsia="Times New Roman" w:hAnsi="Times New Roman" w:cs="Times New Roman"/>
                <w:b/>
                <w:color w:val="000000"/>
              </w:rPr>
              <w:t xml:space="preserve"> </w:t>
            </w:r>
            <w:r>
              <w:rPr>
                <w:rFonts w:ascii="Times New Roman" w:eastAsia="Times New Roman" w:hAnsi="Times New Roman" w:cs="Times New Roman"/>
                <w:i/>
                <w:color w:val="000000"/>
              </w:rPr>
              <w:t xml:space="preserve">Procedura specifică - Anexa nr. 2 a Notei nr. 4663/DGMRURS/19.09.2022 - </w:t>
            </w:r>
            <w:hyperlink r:id="rId10">
              <w:r>
                <w:rPr>
                  <w:rFonts w:ascii="Times New Roman" w:eastAsia="Times New Roman" w:hAnsi="Times New Roman" w:cs="Times New Roman"/>
                  <w:i/>
                  <w:color w:val="0000FF"/>
                  <w:u w:val="single"/>
                </w:rPr>
                <w:t>https://drive.google.com/file/d/1Kh_fyiGskyp6qk3Czr0DgZ6KKW_qdMi7/view</w:t>
              </w:r>
            </w:hyperlink>
            <w:r>
              <w:rPr>
                <w:rFonts w:ascii="Times New Roman" w:eastAsia="Times New Roman" w:hAnsi="Times New Roman" w:cs="Times New Roman"/>
                <w:i/>
                <w:color w:val="000000"/>
              </w:rPr>
              <w:t>)</w:t>
            </w:r>
          </w:p>
          <w:p w:rsidR="00AB464E" w:rsidRDefault="00AB464E">
            <w:pPr>
              <w:pBdr>
                <w:top w:val="nil"/>
                <w:left w:val="nil"/>
                <w:bottom w:val="nil"/>
                <w:right w:val="nil"/>
                <w:between w:val="nil"/>
              </w:pBdr>
              <w:rPr>
                <w:rFonts w:ascii="Times New Roman" w:eastAsia="Times New Roman" w:hAnsi="Times New Roman" w:cs="Times New Roman"/>
                <w:color w:val="000000"/>
              </w:rPr>
            </w:pPr>
          </w:p>
        </w:tc>
      </w:tr>
      <w:tr w:rsidR="00AB464E">
        <w:trPr>
          <w:trHeight w:val="1134"/>
        </w:trPr>
        <w:tc>
          <w:tcPr>
            <w:tcW w:w="2384"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02 decembrie – 12 ianuarie </w:t>
            </w:r>
          </w:p>
        </w:tc>
        <w:tc>
          <w:tcPr>
            <w:tcW w:w="7244"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Analiza dosarelor depuse în cadrul Comisiei constituite la nivelul casei corpului didactic pentru recunoașterea și echivalarea în credite profesionale transferabile a competențelor dobândite de cadrele didactice prin participarea la programe complementare. </w:t>
            </w:r>
          </w:p>
        </w:tc>
      </w:tr>
      <w:tr w:rsidR="00AB464E">
        <w:trPr>
          <w:trHeight w:val="1134"/>
        </w:trPr>
        <w:tc>
          <w:tcPr>
            <w:tcW w:w="2384"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color w:val="000000"/>
              </w:rPr>
              <w:t>Până la</w:t>
            </w:r>
            <w:r>
              <w:rPr>
                <w:rFonts w:ascii="Times New Roman" w:eastAsia="Times New Roman" w:hAnsi="Times New Roman" w:cs="Times New Roman"/>
                <w:b/>
                <w:color w:val="000000"/>
              </w:rPr>
              <w:t xml:space="preserve"> 15 februarie</w:t>
            </w:r>
          </w:p>
        </w:tc>
        <w:tc>
          <w:tcPr>
            <w:tcW w:w="7244"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Emiterea și transmiterea către unitățile de învățământ a adeverințelor prin care se recunosc și se echivalează în credite profesionale transferabile competențele dobândite prin participarea la programe complementare. </w:t>
            </w:r>
          </w:p>
        </w:tc>
      </w:tr>
      <w:tr w:rsidR="00AB464E">
        <w:trPr>
          <w:trHeight w:val="1134"/>
        </w:trPr>
        <w:tc>
          <w:tcPr>
            <w:tcW w:w="2384"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color w:val="000000"/>
              </w:rPr>
              <w:t xml:space="preserve">Până la </w:t>
            </w:r>
            <w:r>
              <w:rPr>
                <w:rFonts w:ascii="Times New Roman" w:eastAsia="Times New Roman" w:hAnsi="Times New Roman" w:cs="Times New Roman"/>
                <w:b/>
                <w:color w:val="000000"/>
              </w:rPr>
              <w:t>15 martie</w:t>
            </w:r>
          </w:p>
        </w:tc>
        <w:tc>
          <w:tcPr>
            <w:tcW w:w="7244"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Elaborarea de către profesorul metodist CCD a Raportului sintetic privind situația dezvoltării profesionale continue a cadrelor didactice din județ și transmiterea către direcția de specialitate din cadrul Ministerului Educației.</w:t>
            </w:r>
          </w:p>
        </w:tc>
      </w:tr>
    </w:tbl>
    <w:p w:rsidR="00AB464E" w:rsidRDefault="00AB464E"/>
    <w:p w:rsidR="00AB464E" w:rsidRDefault="00AB464E"/>
    <w:p w:rsidR="00AB464E" w:rsidRDefault="00000000">
      <w:r>
        <w:br w:type="page"/>
      </w:r>
    </w:p>
    <w:p w:rsidR="00AB464E" w:rsidRDefault="00AB464E">
      <w:pPr>
        <w:pStyle w:val="Heading2"/>
        <w:shd w:val="clear" w:color="auto" w:fill="FFFFFF"/>
        <w:jc w:val="center"/>
        <w:rPr>
          <w:rFonts w:ascii="Times New Roman" w:eastAsia="Times New Roman" w:hAnsi="Times New Roman" w:cs="Times New Roman"/>
          <w:b/>
          <w:color w:val="000000"/>
          <w:sz w:val="24"/>
          <w:szCs w:val="24"/>
        </w:rPr>
      </w:pPr>
    </w:p>
    <w:p w:rsidR="00AB464E" w:rsidRDefault="00000000">
      <w:pPr>
        <w:pStyle w:val="Heading2"/>
        <w:shd w:val="clear" w:color="auto" w:fill="FFFFFF"/>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Calendarul activităților privind </w:t>
      </w:r>
    </w:p>
    <w:p w:rsidR="00AB464E" w:rsidRDefault="00000000">
      <w:pPr>
        <w:pStyle w:val="Heading2"/>
        <w:shd w:val="clear" w:color="auto" w:fill="FFFFFF"/>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recunoașterea și echivalarea în credite profesionale transferabile </w:t>
      </w:r>
    </w:p>
    <w:p w:rsidR="00AB464E" w:rsidRDefault="00000000">
      <w:pPr>
        <w:pStyle w:val="Heading2"/>
        <w:shd w:val="clear" w:color="auto" w:fill="FFFFFF"/>
        <w:spacing w:after="1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 competențelor dobândite în cadrul programelor pentru abilitare funcțională</w:t>
      </w:r>
    </w:p>
    <w:p w:rsidR="00AB464E" w:rsidRDefault="00000000">
      <w:pPr>
        <w:pBdr>
          <w:top w:val="nil"/>
          <w:left w:val="nil"/>
          <w:bottom w:val="nil"/>
          <w:right w:val="nil"/>
          <w:between w:val="nil"/>
        </w:pBdr>
        <w:spacing w:after="0" w:line="240" w:lineRule="auto"/>
        <w:jc w:val="center"/>
        <w:rPr>
          <w:rFonts w:ascii="Times New Roman" w:eastAsia="Times New Roman" w:hAnsi="Times New Roman" w:cs="Times New Roman"/>
          <w:i/>
          <w:color w:val="000000"/>
        </w:rPr>
      </w:pPr>
      <w:r>
        <w:rPr>
          <w:rFonts w:ascii="Times New Roman" w:eastAsia="Times New Roman" w:hAnsi="Times New Roman" w:cs="Times New Roman"/>
          <w:i/>
          <w:color w:val="000000"/>
        </w:rPr>
        <w:t>conform Procedurii specifice - Anexa nr. 3 a Notei nr. 4663/DGMRURS/19.09.2022</w:t>
      </w:r>
    </w:p>
    <w:p w:rsidR="00AB464E" w:rsidRDefault="00AB464E"/>
    <w:p w:rsidR="00AB464E"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Pentru anul școlar 2022-2023, termenele se prelungesc cu 30 de zile lucrătoare.</w:t>
      </w:r>
    </w:p>
    <w:tbl>
      <w:tblPr>
        <w:tblStyle w:val="a1"/>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7365"/>
      </w:tblGrid>
      <w:tr w:rsidR="00AB464E">
        <w:trPr>
          <w:trHeight w:val="397"/>
        </w:trPr>
        <w:tc>
          <w:tcPr>
            <w:tcW w:w="2263"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AB464E" w:rsidRDefault="00000000">
            <w:pPr>
              <w:jc w:val="center"/>
              <w:rPr>
                <w:rFonts w:ascii="Times New Roman" w:eastAsia="Times New Roman" w:hAnsi="Times New Roman" w:cs="Times New Roman"/>
                <w:b/>
              </w:rPr>
            </w:pPr>
            <w:r>
              <w:rPr>
                <w:rFonts w:ascii="Times New Roman" w:eastAsia="Times New Roman" w:hAnsi="Times New Roman" w:cs="Times New Roman"/>
                <w:b/>
              </w:rPr>
              <w:t>Perioada</w:t>
            </w:r>
          </w:p>
        </w:tc>
        <w:tc>
          <w:tcPr>
            <w:tcW w:w="7365"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AB464E" w:rsidRDefault="00000000">
            <w:pPr>
              <w:jc w:val="center"/>
              <w:rPr>
                <w:rFonts w:ascii="Times New Roman" w:eastAsia="Times New Roman" w:hAnsi="Times New Roman" w:cs="Times New Roman"/>
                <w:b/>
              </w:rPr>
            </w:pPr>
            <w:r>
              <w:rPr>
                <w:rFonts w:ascii="Times New Roman" w:eastAsia="Times New Roman" w:hAnsi="Times New Roman" w:cs="Times New Roman"/>
                <w:b/>
              </w:rPr>
              <w:t>Activitatea</w:t>
            </w:r>
          </w:p>
        </w:tc>
      </w:tr>
      <w:tr w:rsidR="00AB464E">
        <w:trPr>
          <w:trHeight w:val="1531"/>
        </w:trPr>
        <w:tc>
          <w:tcPr>
            <w:tcW w:w="2263"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Până la </w:t>
            </w:r>
            <w:r>
              <w:rPr>
                <w:rFonts w:ascii="Times New Roman" w:eastAsia="Times New Roman" w:hAnsi="Times New Roman" w:cs="Times New Roman"/>
                <w:b/>
                <w:color w:val="000000"/>
              </w:rPr>
              <w:t>15 octombrie</w:t>
            </w:r>
          </w:p>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2060"/>
              </w:rPr>
              <w:t>(</w:t>
            </w:r>
            <w:r>
              <w:rPr>
                <w:rFonts w:ascii="Times New Roman" w:eastAsia="Times New Roman" w:hAnsi="Times New Roman" w:cs="Times New Roman"/>
                <w:b/>
                <w:color w:val="002060"/>
              </w:rPr>
              <w:t>+ 30 zile lucrătoare</w:t>
            </w:r>
            <w:r>
              <w:rPr>
                <w:rFonts w:ascii="Times New Roman" w:eastAsia="Times New Roman" w:hAnsi="Times New Roman" w:cs="Times New Roman"/>
                <w:color w:val="002060"/>
              </w:rPr>
              <w:t>)</w:t>
            </w:r>
          </w:p>
        </w:tc>
        <w:tc>
          <w:tcPr>
            <w:tcW w:w="7365"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Depunerea dosarelor la secretariatul unităţii de învăţământ la care este încadrat în anul şcolar respectiv sau în care au norma de bază,</w:t>
            </w:r>
          </w:p>
          <w:p w:rsidR="00AB464E" w:rsidRDefault="00000000">
            <w:p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color w:val="000000"/>
              </w:rPr>
              <w:t xml:space="preserve">cf Art. 2 din </w:t>
            </w:r>
            <w:r>
              <w:rPr>
                <w:rFonts w:ascii="Times New Roman" w:eastAsia="Times New Roman" w:hAnsi="Times New Roman" w:cs="Times New Roman"/>
                <w:i/>
                <w:color w:val="000000"/>
              </w:rPr>
              <w:t xml:space="preserve">Procedura specifică - Anexa nr. 3 a Notei nr. 4663/DGMRURS/19.09.2022 - </w:t>
            </w:r>
            <w:hyperlink r:id="rId11">
              <w:r>
                <w:rPr>
                  <w:rFonts w:ascii="Times New Roman" w:eastAsia="Times New Roman" w:hAnsi="Times New Roman" w:cs="Times New Roman"/>
                  <w:i/>
                  <w:color w:val="0000FF"/>
                  <w:u w:val="single"/>
                </w:rPr>
                <w:t>https://drive.google.com/file/d/1eMKvmBHYdeadF_f-RvjLFg1ndEmpiqnP/view</w:t>
              </w:r>
            </w:hyperlink>
          </w:p>
          <w:p w:rsidR="00AB464E" w:rsidRDefault="00AB464E">
            <w:pPr>
              <w:pBdr>
                <w:top w:val="nil"/>
                <w:left w:val="nil"/>
                <w:bottom w:val="nil"/>
                <w:right w:val="nil"/>
                <w:between w:val="nil"/>
              </w:pBdr>
              <w:rPr>
                <w:rFonts w:ascii="Times New Roman" w:eastAsia="Times New Roman" w:hAnsi="Times New Roman" w:cs="Times New Roman"/>
                <w:color w:val="000000"/>
              </w:rPr>
            </w:pPr>
          </w:p>
        </w:tc>
      </w:tr>
      <w:tr w:rsidR="00AB464E">
        <w:trPr>
          <w:trHeight w:val="850"/>
        </w:trPr>
        <w:tc>
          <w:tcPr>
            <w:tcW w:w="2263"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b/>
                <w:color w:val="000000"/>
              </w:rPr>
              <w:t>15 octombrie - 15 noiembrie</w:t>
            </w:r>
          </w:p>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color w:val="002060"/>
              </w:rPr>
              <w:t>(</w:t>
            </w:r>
            <w:r>
              <w:rPr>
                <w:rFonts w:ascii="Times New Roman" w:eastAsia="Times New Roman" w:hAnsi="Times New Roman" w:cs="Times New Roman"/>
                <w:b/>
                <w:color w:val="002060"/>
              </w:rPr>
              <w:t>+ 30 zile lucrătoare</w:t>
            </w:r>
            <w:r>
              <w:rPr>
                <w:rFonts w:ascii="Times New Roman" w:eastAsia="Times New Roman" w:hAnsi="Times New Roman" w:cs="Times New Roman"/>
                <w:color w:val="002060"/>
              </w:rPr>
              <w:t>)</w:t>
            </w:r>
          </w:p>
        </w:tc>
        <w:tc>
          <w:tcPr>
            <w:tcW w:w="7365"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Analiza şi evaluarea dosarelor de către Comisia pentru mentorat didactic din cadrul unităţii de învăţământ</w:t>
            </w:r>
          </w:p>
        </w:tc>
      </w:tr>
      <w:tr w:rsidR="00AB464E">
        <w:trPr>
          <w:trHeight w:val="850"/>
        </w:trPr>
        <w:tc>
          <w:tcPr>
            <w:tcW w:w="2263"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16 - 29 noiembrie </w:t>
            </w:r>
          </w:p>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color w:val="002060"/>
              </w:rPr>
              <w:t>(</w:t>
            </w:r>
            <w:r>
              <w:rPr>
                <w:rFonts w:ascii="Times New Roman" w:eastAsia="Times New Roman" w:hAnsi="Times New Roman" w:cs="Times New Roman"/>
                <w:b/>
                <w:color w:val="002060"/>
              </w:rPr>
              <w:t>+ 30 zile lucrătoare</w:t>
            </w:r>
            <w:r>
              <w:rPr>
                <w:rFonts w:ascii="Times New Roman" w:eastAsia="Times New Roman" w:hAnsi="Times New Roman" w:cs="Times New Roman"/>
                <w:color w:val="002060"/>
              </w:rPr>
              <w:t>)</w:t>
            </w:r>
          </w:p>
        </w:tc>
        <w:tc>
          <w:tcPr>
            <w:tcW w:w="7365"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Validarea de către consiliul de administraţie a situaţiei centralizate privind numărul de credite profesionale transferabile acordate </w:t>
            </w:r>
          </w:p>
        </w:tc>
      </w:tr>
      <w:tr w:rsidR="00AB464E">
        <w:trPr>
          <w:trHeight w:val="850"/>
        </w:trPr>
        <w:tc>
          <w:tcPr>
            <w:tcW w:w="2263"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2 – 15 decembrie </w:t>
            </w:r>
          </w:p>
          <w:p w:rsidR="00AB464E" w:rsidRDefault="00000000">
            <w:pPr>
              <w:pBdr>
                <w:top w:val="nil"/>
                <w:left w:val="nil"/>
                <w:bottom w:val="nil"/>
                <w:right w:val="nil"/>
                <w:between w:val="nil"/>
              </w:pBdr>
              <w:rPr>
                <w:rFonts w:ascii="Times New Roman" w:eastAsia="Times New Roman" w:hAnsi="Times New Roman" w:cs="Times New Roman"/>
                <w:b/>
                <w:color w:val="000000"/>
              </w:rPr>
            </w:pPr>
            <w:r>
              <w:rPr>
                <w:rFonts w:ascii="Times New Roman" w:eastAsia="Times New Roman" w:hAnsi="Times New Roman" w:cs="Times New Roman"/>
                <w:color w:val="002060"/>
              </w:rPr>
              <w:t>(</w:t>
            </w:r>
            <w:r>
              <w:rPr>
                <w:rFonts w:ascii="Times New Roman" w:eastAsia="Times New Roman" w:hAnsi="Times New Roman" w:cs="Times New Roman"/>
                <w:b/>
                <w:color w:val="002060"/>
              </w:rPr>
              <w:t>+ 30 zile lucrătoare</w:t>
            </w:r>
            <w:r>
              <w:rPr>
                <w:rFonts w:ascii="Times New Roman" w:eastAsia="Times New Roman" w:hAnsi="Times New Roman" w:cs="Times New Roman"/>
                <w:color w:val="002060"/>
              </w:rPr>
              <w:t>)</w:t>
            </w:r>
          </w:p>
        </w:tc>
        <w:tc>
          <w:tcPr>
            <w:tcW w:w="7365"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Eliberarea de către unitatea de învăţământ a adeverinţelor prevăzute în Anexa 2 </w:t>
            </w:r>
          </w:p>
        </w:tc>
      </w:tr>
      <w:tr w:rsidR="00AB464E">
        <w:trPr>
          <w:trHeight w:val="1531"/>
        </w:trPr>
        <w:tc>
          <w:tcPr>
            <w:tcW w:w="2263"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Până la </w:t>
            </w:r>
            <w:r>
              <w:rPr>
                <w:rFonts w:ascii="Times New Roman" w:eastAsia="Times New Roman" w:hAnsi="Times New Roman" w:cs="Times New Roman"/>
                <w:b/>
                <w:color w:val="000000"/>
              </w:rPr>
              <w:t>15 ianuarie</w:t>
            </w:r>
            <w:r>
              <w:rPr>
                <w:rFonts w:ascii="Times New Roman" w:eastAsia="Times New Roman" w:hAnsi="Times New Roman" w:cs="Times New Roman"/>
                <w:color w:val="000000"/>
              </w:rPr>
              <w:t xml:space="preserve"> </w:t>
            </w:r>
          </w:p>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2060"/>
              </w:rPr>
              <w:t>(</w:t>
            </w:r>
            <w:r>
              <w:rPr>
                <w:rFonts w:ascii="Times New Roman" w:eastAsia="Times New Roman" w:hAnsi="Times New Roman" w:cs="Times New Roman"/>
                <w:b/>
                <w:color w:val="002060"/>
              </w:rPr>
              <w:t>+ 30 zile lucrătoare</w:t>
            </w:r>
            <w:r>
              <w:rPr>
                <w:rFonts w:ascii="Times New Roman" w:eastAsia="Times New Roman" w:hAnsi="Times New Roman" w:cs="Times New Roman"/>
                <w:color w:val="002060"/>
              </w:rPr>
              <w:t>)</w:t>
            </w:r>
          </w:p>
        </w:tc>
        <w:tc>
          <w:tcPr>
            <w:tcW w:w="7365" w:type="dxa"/>
            <w:tcBorders>
              <w:top w:val="single" w:sz="4" w:space="0" w:color="000000"/>
              <w:left w:val="single" w:sz="4" w:space="0" w:color="000000"/>
              <w:bottom w:val="single" w:sz="4" w:space="0" w:color="000000"/>
              <w:right w:val="single" w:sz="4" w:space="0" w:color="000000"/>
            </w:tcBorders>
            <w:vAlign w:val="center"/>
          </w:tcPr>
          <w:p w:rsidR="00AB464E" w:rsidRDefault="00000000">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Comunicarea situației centralizate privind acumularea numărului de credite profesionale transferabile pentru cadrele didactice încadrate în unitatea de învăţământ, validată de consiliul de administraţie, inspectorului şcolar pentru dezvoltarea resursei umane şi profesorului metodist cu atribuții privind mentoratul pentru dezvoltare profesională, din casa corpului didactic </w:t>
            </w:r>
          </w:p>
        </w:tc>
      </w:tr>
    </w:tbl>
    <w:p w:rsidR="00AB464E" w:rsidRDefault="00AB464E"/>
    <w:sectPr w:rsidR="00AB464E">
      <w:headerReference w:type="default" r:id="rId12"/>
      <w:pgSz w:w="11906" w:h="16838"/>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7B11" w:rsidRDefault="00B67B11">
      <w:pPr>
        <w:spacing w:after="0" w:line="240" w:lineRule="auto"/>
      </w:pPr>
      <w:r>
        <w:separator/>
      </w:r>
    </w:p>
  </w:endnote>
  <w:endnote w:type="continuationSeparator" w:id="0">
    <w:p w:rsidR="00B67B11" w:rsidRDefault="00B6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7B11" w:rsidRDefault="00B67B11">
      <w:pPr>
        <w:spacing w:after="0" w:line="240" w:lineRule="auto"/>
      </w:pPr>
      <w:r>
        <w:separator/>
      </w:r>
    </w:p>
  </w:footnote>
  <w:footnote w:type="continuationSeparator" w:id="0">
    <w:p w:rsidR="00B67B11" w:rsidRDefault="00B67B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B464E" w:rsidRDefault="00000000">
    <w:pPr>
      <w:pBdr>
        <w:top w:val="nil"/>
        <w:left w:val="nil"/>
        <w:bottom w:val="nil"/>
        <w:right w:val="nil"/>
        <w:between w:val="nil"/>
      </w:pBdr>
      <w:tabs>
        <w:tab w:val="center" w:pos="4536"/>
        <w:tab w:val="right" w:pos="9072"/>
      </w:tabs>
      <w:spacing w:after="0" w:line="240" w:lineRule="auto"/>
    </w:pPr>
    <w:r>
      <w:rPr>
        <w:noProof/>
      </w:rPr>
      <w:drawing>
        <wp:anchor distT="0" distB="0" distL="114300" distR="114300" simplePos="0" relativeHeight="251658240" behindDoc="0" locked="0" layoutInCell="1" hidden="0" allowOverlap="1">
          <wp:simplePos x="0" y="0"/>
          <wp:positionH relativeFrom="column">
            <wp:posOffset>-123824</wp:posOffset>
          </wp:positionH>
          <wp:positionV relativeFrom="paragraph">
            <wp:posOffset>-257174</wp:posOffset>
          </wp:positionV>
          <wp:extent cx="6508750" cy="880110"/>
          <wp:effectExtent l="0" t="0" r="0" b="0"/>
          <wp:wrapNone/>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0" cy="880110"/>
                  </a:xfrm>
                  <a:prstGeom prst="rect">
                    <a:avLst/>
                  </a:prstGeom>
                  <a:ln/>
                </pic:spPr>
              </pic:pic>
            </a:graphicData>
          </a:graphic>
        </wp:anchor>
      </w:drawing>
    </w:r>
  </w:p>
  <w:p w:rsidR="00AB464E" w:rsidRDefault="00AB464E">
    <w:pPr>
      <w:pBdr>
        <w:top w:val="nil"/>
        <w:left w:val="nil"/>
        <w:bottom w:val="nil"/>
        <w:right w:val="nil"/>
        <w:between w:val="nil"/>
      </w:pBdr>
      <w:tabs>
        <w:tab w:val="center" w:pos="4536"/>
        <w:tab w:val="right" w:pos="9072"/>
      </w:tabs>
      <w:spacing w:after="0" w:line="240" w:lineRule="auto"/>
      <w:rPr>
        <w:color w:val="000000"/>
      </w:rPr>
    </w:pPr>
  </w:p>
  <w:p w:rsidR="00AB464E" w:rsidRDefault="00AB464E">
    <w:pPr>
      <w:pBdr>
        <w:top w:val="nil"/>
        <w:left w:val="nil"/>
        <w:bottom w:val="nil"/>
        <w:right w:val="nil"/>
        <w:between w:val="nil"/>
      </w:pBdr>
      <w:tabs>
        <w:tab w:val="center" w:pos="4536"/>
        <w:tab w:val="right" w:pos="9072"/>
      </w:tabs>
      <w:spacing w:after="0" w:line="240" w:lineRule="auto"/>
    </w:pPr>
  </w:p>
  <w:p w:rsidR="00AB464E" w:rsidRDefault="00AB464E">
    <w:pPr>
      <w:pBdr>
        <w:top w:val="nil"/>
        <w:left w:val="nil"/>
        <w:bottom w:val="nil"/>
        <w:right w:val="nil"/>
        <w:between w:val="nil"/>
      </w:pBdr>
      <w:tabs>
        <w:tab w:val="center" w:pos="4536"/>
        <w:tab w:val="right" w:pos="9072"/>
      </w:tabs>
      <w:spacing w:after="0" w:line="240" w:lineRule="auto"/>
    </w:pPr>
  </w:p>
  <w:p w:rsidR="00AB464E" w:rsidRDefault="00AB464E">
    <w:pPr>
      <w:pBdr>
        <w:top w:val="nil"/>
        <w:left w:val="nil"/>
        <w:bottom w:val="nil"/>
        <w:right w:val="nil"/>
        <w:between w:val="nil"/>
      </w:pBdr>
      <w:tabs>
        <w:tab w:val="center" w:pos="4536"/>
        <w:tab w:val="right" w:pos="9072"/>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64E"/>
    <w:rsid w:val="00294AB6"/>
    <w:rsid w:val="00AB464E"/>
    <w:rsid w:val="00B67B11"/>
    <w:rsid w:val="00D8236A"/>
    <w:rsid w:val="00F26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78BA1"/>
  <w15:docId w15:val="{8A6C6AE5-F599-438B-BCD6-8516FA80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E7C"/>
  </w:style>
  <w:style w:type="paragraph" w:styleId="Heading1">
    <w:name w:val="heading 1"/>
    <w:basedOn w:val="Normal"/>
    <w:next w:val="Normal"/>
    <w:link w:val="Heading1Char1"/>
    <w:uiPriority w:val="9"/>
    <w:qFormat/>
    <w:rsid w:val="00756FE3"/>
    <w:pPr>
      <w:keepNext/>
      <w:spacing w:after="0" w:line="240" w:lineRule="auto"/>
      <w:outlineLvl w:val="0"/>
    </w:pPr>
    <w:rPr>
      <w:rFonts w:ascii="Monotype Corsiva" w:eastAsia="Times New Roman" w:hAnsi="Monotype Corsiva" w:cs="Times New Roman"/>
      <w:b/>
      <w:i/>
      <w:sz w:val="40"/>
      <w:szCs w:val="20"/>
      <w:lang w:val="en-US" w:eastAsia="ro-RO"/>
    </w:rPr>
  </w:style>
  <w:style w:type="paragraph" w:styleId="Heading2">
    <w:name w:val="heading 2"/>
    <w:basedOn w:val="Normal"/>
    <w:next w:val="Normal"/>
    <w:link w:val="Heading2Char"/>
    <w:uiPriority w:val="9"/>
    <w:unhideWhenUsed/>
    <w:qFormat/>
    <w:rsid w:val="00756F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756FE3"/>
    <w:pPr>
      <w:tabs>
        <w:tab w:val="center" w:pos="4536"/>
        <w:tab w:val="right" w:pos="9072"/>
      </w:tabs>
      <w:spacing w:after="0" w:line="240" w:lineRule="auto"/>
    </w:pPr>
  </w:style>
  <w:style w:type="character" w:customStyle="1" w:styleId="HeaderChar">
    <w:name w:val="Header Char"/>
    <w:basedOn w:val="DefaultParagraphFont"/>
    <w:link w:val="Header"/>
    <w:uiPriority w:val="99"/>
    <w:rsid w:val="00756FE3"/>
  </w:style>
  <w:style w:type="paragraph" w:styleId="Footer">
    <w:name w:val="footer"/>
    <w:basedOn w:val="Normal"/>
    <w:link w:val="FooterChar"/>
    <w:uiPriority w:val="99"/>
    <w:unhideWhenUsed/>
    <w:rsid w:val="00756FE3"/>
    <w:pPr>
      <w:tabs>
        <w:tab w:val="center" w:pos="4536"/>
        <w:tab w:val="right" w:pos="9072"/>
      </w:tabs>
      <w:spacing w:after="0" w:line="240" w:lineRule="auto"/>
    </w:pPr>
  </w:style>
  <w:style w:type="character" w:customStyle="1" w:styleId="FooterChar">
    <w:name w:val="Footer Char"/>
    <w:basedOn w:val="DefaultParagraphFont"/>
    <w:link w:val="Footer"/>
    <w:uiPriority w:val="99"/>
    <w:rsid w:val="00756FE3"/>
  </w:style>
  <w:style w:type="character" w:customStyle="1" w:styleId="Heading1Char">
    <w:name w:val="Heading 1 Char"/>
    <w:basedOn w:val="DefaultParagraphFont"/>
    <w:uiPriority w:val="9"/>
    <w:rsid w:val="00756FE3"/>
    <w:rPr>
      <w:rFonts w:asciiTheme="majorHAnsi" w:eastAsiaTheme="majorEastAsia" w:hAnsiTheme="majorHAnsi" w:cstheme="majorBidi"/>
      <w:color w:val="2E74B5" w:themeColor="accent1" w:themeShade="BF"/>
      <w:sz w:val="32"/>
      <w:szCs w:val="32"/>
    </w:rPr>
  </w:style>
  <w:style w:type="character" w:styleId="Hyperlink">
    <w:name w:val="Hyperlink"/>
    <w:rsid w:val="00756FE3"/>
    <w:rPr>
      <w:color w:val="0000FF"/>
      <w:sz w:val="24"/>
      <w:szCs w:val="24"/>
      <w:u w:val="single"/>
      <w:lang w:val="pl-PL" w:eastAsia="pl-PL" w:bidi="ar-SA"/>
    </w:rPr>
  </w:style>
  <w:style w:type="character" w:customStyle="1" w:styleId="Heading1Char1">
    <w:name w:val="Heading 1 Char1"/>
    <w:link w:val="Heading1"/>
    <w:rsid w:val="00756FE3"/>
    <w:rPr>
      <w:rFonts w:ascii="Monotype Corsiva" w:eastAsia="Times New Roman" w:hAnsi="Monotype Corsiva" w:cs="Times New Roman"/>
      <w:b/>
      <w:i/>
      <w:sz w:val="40"/>
      <w:szCs w:val="20"/>
      <w:lang w:val="en-US" w:eastAsia="ro-RO"/>
    </w:rPr>
  </w:style>
  <w:style w:type="paragraph" w:styleId="NormalWeb">
    <w:name w:val="Normal (Web)"/>
    <w:basedOn w:val="Normal"/>
    <w:uiPriority w:val="99"/>
    <w:semiHidden/>
    <w:unhideWhenUsed/>
    <w:rsid w:val="00756FE3"/>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Heading2Char">
    <w:name w:val="Heading 2 Char"/>
    <w:basedOn w:val="DefaultParagraphFont"/>
    <w:link w:val="Heading2"/>
    <w:uiPriority w:val="9"/>
    <w:semiHidden/>
    <w:rsid w:val="00756FE3"/>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756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661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1">
    <w:name w:val="Unresolved Mention1"/>
    <w:basedOn w:val="DefaultParagraphFont"/>
    <w:uiPriority w:val="99"/>
    <w:semiHidden/>
    <w:unhideWhenUsed/>
    <w:rsid w:val="005405E3"/>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294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formare.isjar@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ormare@ccdar.r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rive.google.com/file/d/1eMKvmBHYdeadF_f-RvjLFg1ndEmpiqnP/view" TargetMode="External"/><Relationship Id="rId5" Type="http://schemas.openxmlformats.org/officeDocument/2006/relationships/footnotes" Target="footnotes.xml"/><Relationship Id="rId10" Type="http://schemas.openxmlformats.org/officeDocument/2006/relationships/hyperlink" Target="https://drive.google.com/file/d/1Kh_fyiGskyp6qk3Czr0DgZ6KKW_qdMi7/view" TargetMode="External"/><Relationship Id="rId4" Type="http://schemas.openxmlformats.org/officeDocument/2006/relationships/webSettings" Target="webSettings.xml"/><Relationship Id="rId9" Type="http://schemas.openxmlformats.org/officeDocument/2006/relationships/hyperlink" Target="mailto:ccd_arad@yahoo.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Mpk5S68FHh/Zkiq36Xu9Ez1gqg==">AMUW2mW92e2snHNZxxSr7MY9oR2FvICj0XcLer7FaDyv+WeFiQLUSZWPJFNUrwrRWWBIab5hW8ymyB/ZbkR1uQlboyAIm0qf04pWm+3vWayyuI8LUmGeSTpqelTKzZHM90mnmHNxHd3k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Pages>
  <Words>928</Words>
  <Characters>5292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CCDAG Arad</cp:lastModifiedBy>
  <cp:revision>2</cp:revision>
  <dcterms:created xsi:type="dcterms:W3CDTF">2022-10-27T08:23:00Z</dcterms:created>
  <dcterms:modified xsi:type="dcterms:W3CDTF">2022-11-17T12:23:00Z</dcterms:modified>
</cp:coreProperties>
</file>